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49" w:rsidRPr="00F8049C" w:rsidRDefault="00FF1549" w:rsidP="00FF1549">
      <w:pPr>
        <w:spacing w:line="271" w:lineRule="auto"/>
        <w:jc w:val="center"/>
      </w:pP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Сведения об использовании бюджетных средствза 1 квартал 2023 года</w:t>
      </w:r>
    </w:p>
    <w:p w:rsidR="00FF1549" w:rsidRPr="00F8049C" w:rsidRDefault="00FF1549" w:rsidP="00FF1549">
      <w:pPr>
        <w:spacing w:line="271" w:lineRule="auto"/>
        <w:ind w:firstLine="560"/>
        <w:jc w:val="center"/>
        <w:rPr>
          <w:rFonts w:ascii="Liberation Serif" w:eastAsia="Courier New" w:hAnsi="Liberation Serif" w:cs="Courier New"/>
          <w:sz w:val="26"/>
          <w:szCs w:val="26"/>
        </w:rPr>
      </w:pPr>
    </w:p>
    <w:p w:rsidR="00FF1549" w:rsidRDefault="00FF1549" w:rsidP="00FF1549">
      <w:pPr>
        <w:spacing w:line="271" w:lineRule="auto"/>
        <w:ind w:firstLine="56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</w:pP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По итогам 1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квартала 2023 года наибольшее исполнение в структуре расходов бюджета занимают расходы по разделу «Физическая культура и спорт» - 100%,«Здравоохранение» - 72,1%, «Социальная политика» - 36,2%, «Культура»-35,1%,  «Образование» - 24,9%,  «Национальная безопасность и правоохранительная деятельность» - 21,5%.</w:t>
      </w:r>
    </w:p>
    <w:p w:rsidR="00023200" w:rsidRPr="00F8049C" w:rsidRDefault="00023200" w:rsidP="00FF1549">
      <w:pPr>
        <w:spacing w:line="271" w:lineRule="auto"/>
        <w:ind w:firstLine="560"/>
        <w:jc w:val="both"/>
      </w:pPr>
      <w:bookmarkStart w:id="0" w:name="_GoBack"/>
      <w:bookmarkEnd w:id="0"/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954"/>
        <w:gridCol w:w="1205"/>
        <w:gridCol w:w="1532"/>
        <w:gridCol w:w="1095"/>
        <w:gridCol w:w="14"/>
        <w:gridCol w:w="1543"/>
        <w:gridCol w:w="1316"/>
      </w:tblGrid>
      <w:tr w:rsidR="00FF1549" w:rsidRPr="00FF1549" w:rsidTr="009770AE">
        <w:trPr>
          <w:trHeight w:val="104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Раздел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План, сумма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тыс. руб.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Исполнение по разделу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за 1 квартал 2023 года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% исполнения к плану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За 1 квартал 2023 года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Исполнение по разделу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за 1 квартал 2022 года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исполнение к аналогичному периоду прошлого года,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%</w:t>
            </w:r>
          </w:p>
        </w:tc>
      </w:tr>
      <w:tr w:rsidR="00FF1549" w:rsidRPr="00FF1549" w:rsidTr="009770AE">
        <w:trPr>
          <w:trHeight w:val="624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1549" w:rsidRPr="00FF1549" w:rsidRDefault="00FF1549" w:rsidP="009770AE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549" w:rsidRPr="00FF1549" w:rsidRDefault="00FF1549" w:rsidP="009770AE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0100</w:t>
            </w:r>
          </w:p>
          <w:p w:rsidR="00FF1549" w:rsidRPr="00FF1549" w:rsidRDefault="00FF1549" w:rsidP="009770AE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549" w:rsidRPr="00FF1549" w:rsidRDefault="00FF1549" w:rsidP="009770AE">
            <w:pPr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82 074,49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549" w:rsidRPr="00FF1549" w:rsidRDefault="00FF1549" w:rsidP="009770AE">
            <w:pPr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13 954 ,50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549" w:rsidRPr="00FF1549" w:rsidRDefault="00FF1549" w:rsidP="009770AE">
            <w:pPr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17,0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13 463,71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103,6</w:t>
            </w:r>
          </w:p>
        </w:tc>
      </w:tr>
      <w:tr w:rsidR="00FF1549" w:rsidRPr="00FF1549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0200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336,40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 13,8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40,76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10,8</w:t>
            </w:r>
          </w:p>
        </w:tc>
      </w:tr>
      <w:tr w:rsidR="00FF1549" w:rsidRPr="00FF1549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0300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7 801,69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1 678,53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21,5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1 777,45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94,4</w:t>
            </w:r>
          </w:p>
        </w:tc>
      </w:tr>
      <w:tr w:rsidR="00FF1549" w:rsidRPr="00FF1549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0400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44 898,36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1 191,55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2,7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953,15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125,0</w:t>
            </w:r>
          </w:p>
        </w:tc>
      </w:tr>
      <w:tr w:rsidR="00FF1549" w:rsidRPr="00FF1549" w:rsidTr="009770AE">
        <w:trPr>
          <w:trHeight w:val="617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0500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319 455,08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3 683,65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1,2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7 018,87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52,5</w:t>
            </w:r>
          </w:p>
        </w:tc>
      </w:tr>
      <w:tr w:rsidR="00FF1549" w:rsidRPr="00FF1549" w:rsidTr="009770AE">
        <w:trPr>
          <w:trHeight w:val="262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0700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368 569,18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91 733,38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24,9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141 666,24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64,8</w:t>
            </w:r>
          </w:p>
        </w:tc>
      </w:tr>
      <w:tr w:rsidR="00FF1549" w:rsidRPr="00FF1549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7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0800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Культура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37 042,30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13 003,13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35,1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7 662,90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169,7</w:t>
            </w:r>
          </w:p>
        </w:tc>
      </w:tr>
      <w:tr w:rsidR="00FF1549" w:rsidRPr="00FF1549" w:rsidTr="009770AE">
        <w:trPr>
          <w:trHeight w:val="289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0900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Здравоохранение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336,50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242,50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72,1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720,05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33,7</w:t>
            </w:r>
          </w:p>
        </w:tc>
      </w:tr>
      <w:tr w:rsidR="00FF1549" w:rsidRPr="00FF1549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1000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24 786,09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8 975,12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36,2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6 728,7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133,4</w:t>
            </w:r>
          </w:p>
        </w:tc>
      </w:tr>
      <w:tr w:rsidR="00FF1549" w:rsidRPr="00FF1549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1100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1 545,45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1 545,45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100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1212,55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127,5</w:t>
            </w:r>
          </w:p>
        </w:tc>
      </w:tr>
      <w:tr w:rsidR="00FF1549" w:rsidRPr="00FF1549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1200</w:t>
            </w:r>
          </w:p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</w:rPr>
              <w:t>52,55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17,5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50,5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104,1</w:t>
            </w:r>
          </w:p>
        </w:tc>
      </w:tr>
      <w:tr w:rsidR="00FF1549" w:rsidRPr="00FF1549" w:rsidTr="009770AE">
        <w:trPr>
          <w:trHeight w:val="357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ИТОГО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1549">
              <w:rPr>
                <w:rFonts w:ascii="Times New Roman" w:hAnsi="Times New Roman" w:cs="Times New Roman"/>
                <w:b/>
              </w:rPr>
              <w:t>887 145,54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F1549">
              <w:rPr>
                <w:rFonts w:ascii="Times New Roman" w:hAnsi="Times New Roman" w:cs="Times New Roman"/>
                <w:b/>
              </w:rPr>
              <w:t>136 106,76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FF1549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15,3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549" w:rsidRPr="00FF1549" w:rsidRDefault="00FF1549" w:rsidP="00977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49">
              <w:rPr>
                <w:rFonts w:ascii="Times New Roman" w:hAnsi="Times New Roman" w:cs="Times New Roman"/>
                <w:b/>
              </w:rPr>
              <w:t>181 294,88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549" w:rsidRPr="00FF1549" w:rsidRDefault="00FF1549" w:rsidP="009770AE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hAnsi="Times New Roman" w:cs="Times New Roman"/>
                <w:b/>
              </w:rPr>
            </w:pPr>
            <w:r w:rsidRPr="00FF1549">
              <w:rPr>
                <w:rFonts w:ascii="Times New Roman" w:hAnsi="Times New Roman" w:cs="Times New Roman"/>
                <w:b/>
              </w:rPr>
              <w:t>75,1</w:t>
            </w:r>
          </w:p>
        </w:tc>
      </w:tr>
    </w:tbl>
    <w:p w:rsidR="00FF1549" w:rsidRPr="00F8049C" w:rsidRDefault="00FF1549" w:rsidP="00FF1549">
      <w:pPr>
        <w:spacing w:line="271" w:lineRule="auto"/>
        <w:jc w:val="both"/>
        <w:rPr>
          <w:rFonts w:ascii="Liberation Serif" w:eastAsia="Courier New" w:hAnsi="Liberation Serif" w:cs="Courier New"/>
          <w:sz w:val="26"/>
          <w:szCs w:val="26"/>
        </w:rPr>
      </w:pPr>
    </w:p>
    <w:p w:rsidR="00FF1549" w:rsidRPr="00F8049C" w:rsidRDefault="00FF1549" w:rsidP="00FF1549">
      <w:pPr>
        <w:spacing w:line="271" w:lineRule="auto"/>
        <w:ind w:firstLine="560"/>
        <w:jc w:val="both"/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  <w:lang w:val="en-US"/>
        </w:rPr>
      </w:pPr>
    </w:p>
    <w:p w:rsidR="00FF1549" w:rsidRPr="00F8049C" w:rsidRDefault="00FF1549" w:rsidP="00FF1549">
      <w:pPr>
        <w:spacing w:line="271" w:lineRule="auto"/>
        <w:ind w:firstLine="560"/>
        <w:jc w:val="both"/>
      </w:pPr>
      <w:r w:rsidRPr="00F8049C"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В целом, исполнение бюджета по итогам 1 квартала 2023 год составляет:</w:t>
      </w:r>
    </w:p>
    <w:p w:rsidR="00FF1549" w:rsidRPr="00F8049C" w:rsidRDefault="00FF1549" w:rsidP="00FF1549">
      <w:pPr>
        <w:spacing w:line="271" w:lineRule="auto"/>
        <w:ind w:firstLine="560"/>
        <w:jc w:val="both"/>
      </w:pP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-по доходам – 21,8% ;</w:t>
      </w:r>
    </w:p>
    <w:p w:rsidR="00FF1549" w:rsidRPr="00F8049C" w:rsidRDefault="00FF1549" w:rsidP="00FF1549">
      <w:pPr>
        <w:spacing w:line="271" w:lineRule="auto"/>
        <w:ind w:firstLine="560"/>
        <w:jc w:val="both"/>
      </w:pP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-по расходам – 15,3%.</w:t>
      </w:r>
    </w:p>
    <w:p w:rsidR="00E14C0B" w:rsidRDefault="00E14C0B"/>
    <w:sectPr w:rsidR="00E1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A5"/>
    <w:rsid w:val="00023200"/>
    <w:rsid w:val="00356ADF"/>
    <w:rsid w:val="00E14C0B"/>
    <w:rsid w:val="00EF60A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2023-11-30T10:37:00Z</dcterms:created>
  <dcterms:modified xsi:type="dcterms:W3CDTF">2023-11-30T10:38:00Z</dcterms:modified>
</cp:coreProperties>
</file>